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1464F" w14:textId="77777777" w:rsidR="00D34803" w:rsidRDefault="00D34803">
      <w:pPr>
        <w:spacing w:after="0"/>
        <w:ind w:left="-1440" w:right="10466"/>
      </w:pPr>
    </w:p>
    <w:tbl>
      <w:tblPr>
        <w:tblStyle w:val="TableGrid"/>
        <w:tblW w:w="10032" w:type="dxa"/>
        <w:tblInd w:w="-354" w:type="dxa"/>
        <w:tblCellMar>
          <w:top w:w="47" w:type="dxa"/>
          <w:left w:w="107" w:type="dxa"/>
          <w:right w:w="57" w:type="dxa"/>
        </w:tblCellMar>
        <w:tblLook w:val="04A0" w:firstRow="1" w:lastRow="0" w:firstColumn="1" w:lastColumn="0" w:noHBand="0" w:noVBand="1"/>
      </w:tblPr>
      <w:tblGrid>
        <w:gridCol w:w="3653"/>
        <w:gridCol w:w="6379"/>
      </w:tblGrid>
      <w:tr w:rsidR="00D34803" w14:paraId="6C56AF43" w14:textId="77777777">
        <w:trPr>
          <w:trHeight w:val="276"/>
        </w:trPr>
        <w:tc>
          <w:tcPr>
            <w:tcW w:w="10032" w:type="dxa"/>
            <w:gridSpan w:val="2"/>
            <w:tcBorders>
              <w:top w:val="single" w:sz="4" w:space="0" w:color="000000"/>
              <w:left w:val="single" w:sz="4" w:space="0" w:color="000000"/>
              <w:bottom w:val="single" w:sz="4" w:space="0" w:color="000000"/>
              <w:right w:val="single" w:sz="4" w:space="0" w:color="000000"/>
            </w:tcBorders>
            <w:shd w:val="clear" w:color="auto" w:fill="D9D9D9"/>
          </w:tcPr>
          <w:p w14:paraId="6002F3FA" w14:textId="77777777" w:rsidR="00D34803" w:rsidRDefault="00740CC0">
            <w:r>
              <w:rPr>
                <w:b/>
              </w:rPr>
              <w:t xml:space="preserve">Section 1: General information  </w:t>
            </w:r>
          </w:p>
        </w:tc>
      </w:tr>
      <w:tr w:rsidR="00D34803" w14:paraId="53FCE634" w14:textId="77777777">
        <w:trPr>
          <w:trHeight w:val="280"/>
        </w:trPr>
        <w:tc>
          <w:tcPr>
            <w:tcW w:w="3653" w:type="dxa"/>
            <w:tcBorders>
              <w:top w:val="single" w:sz="4" w:space="0" w:color="000000"/>
              <w:left w:val="single" w:sz="4" w:space="0" w:color="000000"/>
              <w:bottom w:val="single" w:sz="4" w:space="0" w:color="000000"/>
              <w:right w:val="single" w:sz="4" w:space="0" w:color="000000"/>
            </w:tcBorders>
          </w:tcPr>
          <w:p w14:paraId="548E8E55" w14:textId="77777777" w:rsidR="00D34803" w:rsidRDefault="00740CC0">
            <w:r>
              <w:rPr>
                <w:b/>
              </w:rPr>
              <w:t xml:space="preserve">Job title: </w:t>
            </w:r>
          </w:p>
        </w:tc>
        <w:tc>
          <w:tcPr>
            <w:tcW w:w="6379" w:type="dxa"/>
            <w:tcBorders>
              <w:top w:val="single" w:sz="4" w:space="0" w:color="000000"/>
              <w:left w:val="single" w:sz="4" w:space="0" w:color="000000"/>
              <w:bottom w:val="single" w:sz="4" w:space="0" w:color="000000"/>
              <w:right w:val="single" w:sz="4" w:space="0" w:color="000000"/>
            </w:tcBorders>
          </w:tcPr>
          <w:p w14:paraId="7BF7296B" w14:textId="26EABFC5" w:rsidR="00D34803" w:rsidRDefault="00740CC0">
            <w:pPr>
              <w:ind w:left="1"/>
            </w:pPr>
            <w:r>
              <w:rPr>
                <w:b/>
              </w:rPr>
              <w:t xml:space="preserve">Legal Counsel </w:t>
            </w:r>
          </w:p>
        </w:tc>
      </w:tr>
      <w:tr w:rsidR="00D34803" w14:paraId="3405A877" w14:textId="77777777">
        <w:trPr>
          <w:trHeight w:val="278"/>
        </w:trPr>
        <w:tc>
          <w:tcPr>
            <w:tcW w:w="3653" w:type="dxa"/>
            <w:tcBorders>
              <w:top w:val="single" w:sz="4" w:space="0" w:color="000000"/>
              <w:left w:val="single" w:sz="4" w:space="0" w:color="000000"/>
              <w:bottom w:val="single" w:sz="4" w:space="0" w:color="000000"/>
              <w:right w:val="single" w:sz="4" w:space="0" w:color="000000"/>
            </w:tcBorders>
          </w:tcPr>
          <w:p w14:paraId="28184E4E" w14:textId="77777777" w:rsidR="00D34803" w:rsidRDefault="00740CC0">
            <w:r>
              <w:rPr>
                <w:b/>
              </w:rPr>
              <w:t xml:space="preserve">Department: </w:t>
            </w:r>
          </w:p>
        </w:tc>
        <w:tc>
          <w:tcPr>
            <w:tcW w:w="6379" w:type="dxa"/>
            <w:tcBorders>
              <w:top w:val="single" w:sz="4" w:space="0" w:color="000000"/>
              <w:left w:val="single" w:sz="4" w:space="0" w:color="000000"/>
              <w:bottom w:val="single" w:sz="4" w:space="0" w:color="000000"/>
              <w:right w:val="single" w:sz="4" w:space="0" w:color="000000"/>
            </w:tcBorders>
          </w:tcPr>
          <w:p w14:paraId="4780D203" w14:textId="16CBB6A5" w:rsidR="00D34803" w:rsidRDefault="004F1EE1">
            <w:pPr>
              <w:ind w:left="1"/>
            </w:pPr>
            <w:r>
              <w:rPr>
                <w:b/>
              </w:rPr>
              <w:t xml:space="preserve">Legal </w:t>
            </w:r>
          </w:p>
        </w:tc>
      </w:tr>
      <w:tr w:rsidR="00D34803" w14:paraId="4A1E6DB2" w14:textId="77777777">
        <w:trPr>
          <w:trHeight w:val="278"/>
        </w:trPr>
        <w:tc>
          <w:tcPr>
            <w:tcW w:w="3653" w:type="dxa"/>
            <w:tcBorders>
              <w:top w:val="single" w:sz="4" w:space="0" w:color="000000"/>
              <w:left w:val="single" w:sz="4" w:space="0" w:color="000000"/>
              <w:bottom w:val="single" w:sz="4" w:space="0" w:color="000000"/>
              <w:right w:val="single" w:sz="4" w:space="0" w:color="000000"/>
            </w:tcBorders>
          </w:tcPr>
          <w:p w14:paraId="581C9BDF" w14:textId="77777777" w:rsidR="00D34803" w:rsidRDefault="00740CC0">
            <w:r>
              <w:rPr>
                <w:b/>
              </w:rPr>
              <w:t xml:space="preserve">Reports to: </w:t>
            </w:r>
          </w:p>
        </w:tc>
        <w:tc>
          <w:tcPr>
            <w:tcW w:w="6379" w:type="dxa"/>
            <w:tcBorders>
              <w:top w:val="single" w:sz="4" w:space="0" w:color="000000"/>
              <w:left w:val="single" w:sz="4" w:space="0" w:color="000000"/>
              <w:bottom w:val="single" w:sz="4" w:space="0" w:color="000000"/>
              <w:right w:val="single" w:sz="4" w:space="0" w:color="000000"/>
            </w:tcBorders>
          </w:tcPr>
          <w:p w14:paraId="5C948E28" w14:textId="202A95C2" w:rsidR="00D34803" w:rsidRDefault="004F1EE1">
            <w:pPr>
              <w:ind w:left="1"/>
            </w:pPr>
            <w:r>
              <w:rPr>
                <w:b/>
              </w:rPr>
              <w:t>Head of Legal</w:t>
            </w:r>
          </w:p>
        </w:tc>
      </w:tr>
      <w:tr w:rsidR="00D34803" w14:paraId="5D9DC9A1" w14:textId="77777777">
        <w:trPr>
          <w:trHeight w:val="282"/>
        </w:trPr>
        <w:tc>
          <w:tcPr>
            <w:tcW w:w="3653" w:type="dxa"/>
            <w:tcBorders>
              <w:top w:val="single" w:sz="4" w:space="0" w:color="000000"/>
              <w:left w:val="single" w:sz="4" w:space="0" w:color="000000"/>
              <w:bottom w:val="single" w:sz="4" w:space="0" w:color="000000"/>
              <w:right w:val="single" w:sz="4" w:space="0" w:color="000000"/>
            </w:tcBorders>
          </w:tcPr>
          <w:p w14:paraId="0C63255A" w14:textId="77777777" w:rsidR="00D34803" w:rsidRDefault="00740CC0">
            <w:r>
              <w:rPr>
                <w:b/>
              </w:rPr>
              <w:t xml:space="preserve">Version Control </w:t>
            </w:r>
          </w:p>
        </w:tc>
        <w:tc>
          <w:tcPr>
            <w:tcW w:w="6379" w:type="dxa"/>
            <w:tcBorders>
              <w:top w:val="single" w:sz="4" w:space="0" w:color="000000"/>
              <w:left w:val="single" w:sz="4" w:space="0" w:color="000000"/>
              <w:bottom w:val="single" w:sz="4" w:space="0" w:color="000000"/>
              <w:right w:val="single" w:sz="4" w:space="0" w:color="000000"/>
            </w:tcBorders>
          </w:tcPr>
          <w:p w14:paraId="529C9F72" w14:textId="1CC007B3" w:rsidR="00D34803" w:rsidRDefault="00740CC0">
            <w:pPr>
              <w:ind w:left="1"/>
            </w:pPr>
            <w:r>
              <w:rPr>
                <w:b/>
              </w:rPr>
              <w:t>1.</w:t>
            </w:r>
            <w:r w:rsidR="004F1EE1">
              <w:rPr>
                <w:b/>
              </w:rPr>
              <w:t>0</w:t>
            </w:r>
            <w:r>
              <w:rPr>
                <w:b/>
              </w:rPr>
              <w:t xml:space="preserve"> </w:t>
            </w:r>
          </w:p>
        </w:tc>
      </w:tr>
      <w:tr w:rsidR="00D34803" w14:paraId="6C8F8CCB" w14:textId="77777777">
        <w:trPr>
          <w:trHeight w:val="276"/>
        </w:trPr>
        <w:tc>
          <w:tcPr>
            <w:tcW w:w="10032" w:type="dxa"/>
            <w:gridSpan w:val="2"/>
            <w:tcBorders>
              <w:top w:val="single" w:sz="4" w:space="0" w:color="000000"/>
              <w:left w:val="single" w:sz="4" w:space="0" w:color="000000"/>
              <w:bottom w:val="single" w:sz="4" w:space="0" w:color="000000"/>
              <w:right w:val="single" w:sz="4" w:space="0" w:color="000000"/>
            </w:tcBorders>
            <w:shd w:val="clear" w:color="auto" w:fill="D9D9D9"/>
          </w:tcPr>
          <w:p w14:paraId="094D10F0" w14:textId="0D9C1813" w:rsidR="00D34803" w:rsidRDefault="00740CC0">
            <w:r>
              <w:rPr>
                <w:b/>
              </w:rPr>
              <w:t>Section 2: PenCarrie’s story and purpose</w:t>
            </w:r>
            <w:r w:rsidR="00DE6F2B">
              <w:rPr>
                <w:b/>
              </w:rPr>
              <w:t>:</w:t>
            </w:r>
          </w:p>
        </w:tc>
      </w:tr>
      <w:tr w:rsidR="00D34803" w14:paraId="06B1946B" w14:textId="77777777" w:rsidTr="00DE6F2B">
        <w:trPr>
          <w:trHeight w:val="2953"/>
        </w:trPr>
        <w:tc>
          <w:tcPr>
            <w:tcW w:w="10032" w:type="dxa"/>
            <w:gridSpan w:val="2"/>
            <w:tcBorders>
              <w:top w:val="single" w:sz="4" w:space="0" w:color="000000"/>
              <w:left w:val="single" w:sz="4" w:space="0" w:color="000000"/>
              <w:bottom w:val="single" w:sz="4" w:space="0" w:color="000000"/>
              <w:right w:val="single" w:sz="4" w:space="0" w:color="000000"/>
            </w:tcBorders>
          </w:tcPr>
          <w:p w14:paraId="5A193E22" w14:textId="55C8148A" w:rsidR="00D34803" w:rsidRDefault="00740CC0">
            <w:r>
              <w:rPr>
                <w:b/>
              </w:rPr>
              <w:t>PenCarrie’s story:</w:t>
            </w:r>
          </w:p>
          <w:p w14:paraId="3D1141FE" w14:textId="436E7505" w:rsidR="00D34803" w:rsidRDefault="00740CC0">
            <w:pPr>
              <w:spacing w:line="239" w:lineRule="auto"/>
              <w:ind w:right="48"/>
              <w:jc w:val="both"/>
            </w:pPr>
            <w:r>
              <w:t>With over 30 years’ experience, PenCarrie has built a strong reputation as a leading B2B supplier to the garment decoration industry. Based in Willand, Devon, PenCarrie stocks over 3,500 product lines from over 75 of the industry’s top brands from promotional t-shirts to high specification outdoor wear. With a primary focus on meeting the needs of customers, PenCarrie delivers not just on choice but on customer service, reliability and the values that make it one of the leading companies in the market. We are a family business employing 300 Team PenCarrie members each of whom is as passionate about the business as the next.</w:t>
            </w:r>
          </w:p>
          <w:p w14:paraId="5A1D70C8" w14:textId="6F91B234" w:rsidR="00D34803" w:rsidRDefault="00D34803"/>
          <w:p w14:paraId="367C9BBF" w14:textId="32BAEB9A" w:rsidR="00D34803" w:rsidRDefault="00740CC0">
            <w:r>
              <w:rPr>
                <w:b/>
              </w:rPr>
              <w:t>PenCarrie’s purpose:</w:t>
            </w:r>
          </w:p>
          <w:p w14:paraId="0C612ABF" w14:textId="6FE1565C" w:rsidR="00D34803" w:rsidRDefault="00740CC0">
            <w:r>
              <w:t>The distribution partner that enables exceptional customer success.</w:t>
            </w:r>
          </w:p>
        </w:tc>
      </w:tr>
      <w:tr w:rsidR="00D34803" w14:paraId="7E661C0C" w14:textId="77777777">
        <w:trPr>
          <w:trHeight w:val="276"/>
        </w:trPr>
        <w:tc>
          <w:tcPr>
            <w:tcW w:w="10032" w:type="dxa"/>
            <w:gridSpan w:val="2"/>
            <w:tcBorders>
              <w:top w:val="single" w:sz="4" w:space="0" w:color="000000"/>
              <w:left w:val="single" w:sz="4" w:space="0" w:color="000000"/>
              <w:bottom w:val="single" w:sz="4" w:space="0" w:color="000000"/>
              <w:right w:val="single" w:sz="4" w:space="0" w:color="000000"/>
            </w:tcBorders>
            <w:shd w:val="clear" w:color="auto" w:fill="D9D9D9"/>
          </w:tcPr>
          <w:p w14:paraId="659774BB" w14:textId="77777777" w:rsidR="00D34803" w:rsidRDefault="00740CC0">
            <w:r>
              <w:rPr>
                <w:b/>
              </w:rPr>
              <w:t xml:space="preserve">Section 3: Purpose and responsibilities of the role </w:t>
            </w:r>
          </w:p>
        </w:tc>
      </w:tr>
      <w:tr w:rsidR="00BC6C5D" w14:paraId="57729FC8" w14:textId="77777777" w:rsidTr="00BC6C5D">
        <w:trPr>
          <w:trHeight w:val="276"/>
        </w:trPr>
        <w:tc>
          <w:tcPr>
            <w:tcW w:w="10032" w:type="dxa"/>
            <w:gridSpan w:val="2"/>
            <w:tcBorders>
              <w:top w:val="single" w:sz="4" w:space="0" w:color="000000"/>
              <w:left w:val="single" w:sz="4" w:space="0" w:color="000000"/>
              <w:bottom w:val="single" w:sz="4" w:space="0" w:color="000000"/>
              <w:right w:val="single" w:sz="4" w:space="0" w:color="000000"/>
            </w:tcBorders>
          </w:tcPr>
          <w:p w14:paraId="5BD5CC0A" w14:textId="77777777" w:rsidR="00BC6C5D" w:rsidRDefault="00BC6C5D" w:rsidP="00BC6C5D">
            <w:r>
              <w:rPr>
                <w:b/>
              </w:rPr>
              <w:t xml:space="preserve">Main purpose of role: </w:t>
            </w:r>
          </w:p>
          <w:p w14:paraId="34017938" w14:textId="77777777" w:rsidR="00BC6C5D" w:rsidRDefault="00BC6C5D" w:rsidP="00BC6C5D">
            <w:pPr>
              <w:spacing w:after="21"/>
            </w:pPr>
          </w:p>
          <w:p w14:paraId="37942E2A" w14:textId="2D186252" w:rsidR="00BC6C5D" w:rsidRDefault="00BC6C5D" w:rsidP="00BC6C5D">
            <w:pPr>
              <w:spacing w:line="240" w:lineRule="auto"/>
            </w:pPr>
            <w:r>
              <w:rPr>
                <w:color w:val="201F1E"/>
              </w:rPr>
              <w:t>To ensure legal compliance across all business operations and provide legal advice to support our business objectives.</w:t>
            </w:r>
            <w:r w:rsidR="00F76F6B">
              <w:rPr>
                <w:color w:val="201F1E"/>
              </w:rPr>
              <w:t xml:space="preserve"> The </w:t>
            </w:r>
            <w:r w:rsidR="000C594E">
              <w:rPr>
                <w:color w:val="201F1E"/>
              </w:rPr>
              <w:t>role is suited to a junior to mid-level lawyer</w:t>
            </w:r>
            <w:r w:rsidR="005A600F">
              <w:rPr>
                <w:color w:val="201F1E"/>
              </w:rPr>
              <w:t xml:space="preserve"> (0-5 PQE)</w:t>
            </w:r>
            <w:r w:rsidR="00C03298">
              <w:rPr>
                <w:color w:val="201F1E"/>
              </w:rPr>
              <w:t xml:space="preserve"> who will work closely with senior legal colleagues while managing a range of matters with an approp</w:t>
            </w:r>
            <w:r w:rsidR="00502ADF">
              <w:rPr>
                <w:color w:val="201F1E"/>
              </w:rPr>
              <w:t xml:space="preserve">riate degree of autonomy. </w:t>
            </w:r>
          </w:p>
          <w:p w14:paraId="4A31A359" w14:textId="77777777" w:rsidR="00BC6C5D" w:rsidRPr="00DE6F2B" w:rsidRDefault="00BC6C5D">
            <w:pPr>
              <w:rPr>
                <w:bCs/>
              </w:rPr>
            </w:pPr>
          </w:p>
          <w:p w14:paraId="3D40B931" w14:textId="77C8DBDB" w:rsidR="00BC6C5D" w:rsidRDefault="00BC6C5D" w:rsidP="00BC6C5D">
            <w:r>
              <w:rPr>
                <w:b/>
              </w:rPr>
              <w:t>Main responsibilities:</w:t>
            </w:r>
          </w:p>
          <w:p w14:paraId="770D4E96" w14:textId="77777777" w:rsidR="00BC6C5D" w:rsidRDefault="00BC6C5D" w:rsidP="00BC6C5D">
            <w:pPr>
              <w:spacing w:after="12"/>
            </w:pPr>
          </w:p>
          <w:p w14:paraId="548CBCC3" w14:textId="77777777" w:rsidR="00BC6C5D" w:rsidRDefault="00BC6C5D" w:rsidP="00DE6F2B">
            <w:pPr>
              <w:numPr>
                <w:ilvl w:val="0"/>
                <w:numId w:val="1"/>
              </w:numPr>
              <w:spacing w:after="34" w:line="239" w:lineRule="auto"/>
              <w:ind w:hanging="360"/>
              <w:jc w:val="both"/>
            </w:pPr>
            <w:r>
              <w:t>Contracts and Agreements Review: Support business stakeholders, where appropriate under the supervision of the Head of Legal, to review, draft, and negotiate contracts and agreements with suppliers, customers, partners and other third parties and to safeguard the company's interests, ensure compliance with legal requirements and company policies in addition to ensuring alignment with the company’s commercial objectives and risk appetite.</w:t>
            </w:r>
          </w:p>
          <w:p w14:paraId="363270D0" w14:textId="77777777" w:rsidR="00BC6C5D" w:rsidRDefault="00BC6C5D" w:rsidP="00DE6F2B">
            <w:pPr>
              <w:numPr>
                <w:ilvl w:val="0"/>
                <w:numId w:val="1"/>
              </w:numPr>
              <w:spacing w:after="36" w:line="237" w:lineRule="auto"/>
              <w:ind w:hanging="360"/>
              <w:jc w:val="both"/>
            </w:pPr>
            <w:r>
              <w:t xml:space="preserve">New business support: provide legal support on new business opportunities, escalating complex or high-risk matters as appropriate. </w:t>
            </w:r>
          </w:p>
          <w:p w14:paraId="5194AE02" w14:textId="77777777" w:rsidR="00BC6C5D" w:rsidRDefault="00BC6C5D" w:rsidP="00DE6F2B">
            <w:pPr>
              <w:numPr>
                <w:ilvl w:val="0"/>
                <w:numId w:val="1"/>
              </w:numPr>
              <w:spacing w:after="36" w:line="237" w:lineRule="auto"/>
              <w:ind w:hanging="360"/>
              <w:jc w:val="both"/>
            </w:pPr>
            <w:r>
              <w:t xml:space="preserve">Contract Database Management: Maintain and update the contracts database to ensure accuracy and accessibility of contract information. </w:t>
            </w:r>
          </w:p>
          <w:p w14:paraId="4FE46EB3" w14:textId="1419ADB4" w:rsidR="00BC6C5D" w:rsidRDefault="00BC6C5D" w:rsidP="00DE6F2B">
            <w:pPr>
              <w:numPr>
                <w:ilvl w:val="0"/>
                <w:numId w:val="1"/>
              </w:numPr>
              <w:spacing w:after="34" w:line="239" w:lineRule="auto"/>
              <w:ind w:hanging="360"/>
              <w:jc w:val="both"/>
            </w:pPr>
            <w:r>
              <w:t xml:space="preserve">General Insurance Programme Management: </w:t>
            </w:r>
            <w:r w:rsidR="0035640B">
              <w:t>Co-ordinate with internal and external stakeholders regarding</w:t>
            </w:r>
            <w:r>
              <w:t xml:space="preserve"> the company’s general insurance policy renewal and claims management. </w:t>
            </w:r>
          </w:p>
          <w:p w14:paraId="3754B997" w14:textId="77777777" w:rsidR="00BC6C5D" w:rsidRDefault="00BC6C5D" w:rsidP="00DE6F2B">
            <w:pPr>
              <w:numPr>
                <w:ilvl w:val="0"/>
                <w:numId w:val="1"/>
              </w:numPr>
              <w:spacing w:after="35" w:line="239" w:lineRule="auto"/>
              <w:ind w:hanging="360"/>
              <w:jc w:val="both"/>
            </w:pPr>
            <w:r>
              <w:t xml:space="preserve">Company Secretarial Filings: Support company secretarial duties by liaising with internal and external partners to assist with all company secretarial duties including filings, registrations, and compliance with statutory requirements. </w:t>
            </w:r>
          </w:p>
          <w:p w14:paraId="422DBBAD" w14:textId="77777777" w:rsidR="00BC6C5D" w:rsidRDefault="00BC6C5D" w:rsidP="00DE6F2B">
            <w:pPr>
              <w:numPr>
                <w:ilvl w:val="0"/>
                <w:numId w:val="1"/>
              </w:numPr>
              <w:spacing w:after="34" w:line="239" w:lineRule="auto"/>
              <w:ind w:hanging="360"/>
              <w:jc w:val="both"/>
            </w:pPr>
            <w:r>
              <w:t xml:space="preserve">Corporate Governance: support corporate governance activities, including company secretarial and Board governance processes such as matters reserved, committee structures and terms of reference.  Assist with preparing and maintaining accurate Board and committee meeting papers and minutes. </w:t>
            </w:r>
          </w:p>
          <w:p w14:paraId="61718BF5" w14:textId="77777777" w:rsidR="00BC6C5D" w:rsidRDefault="00BC6C5D" w:rsidP="00DE6F2B">
            <w:pPr>
              <w:numPr>
                <w:ilvl w:val="0"/>
                <w:numId w:val="1"/>
              </w:numPr>
              <w:spacing w:after="34" w:line="239" w:lineRule="auto"/>
              <w:ind w:hanging="360"/>
              <w:jc w:val="both"/>
            </w:pPr>
            <w:r>
              <w:t xml:space="preserve">Data Protection Compliance: Ensure ongoing compliance with applicable data protection legislation (including UK GDPR), working in conjunction with the organisation’s broader information governance framework. </w:t>
            </w:r>
          </w:p>
          <w:p w14:paraId="5C131A7B" w14:textId="710A8647" w:rsidR="00BC6C5D" w:rsidRDefault="00BC6C5D" w:rsidP="00DE6F2B">
            <w:pPr>
              <w:numPr>
                <w:ilvl w:val="0"/>
                <w:numId w:val="1"/>
              </w:numPr>
              <w:spacing w:after="35" w:line="238" w:lineRule="auto"/>
              <w:ind w:hanging="360"/>
              <w:jc w:val="both"/>
            </w:pPr>
            <w:r>
              <w:lastRenderedPageBreak/>
              <w:t xml:space="preserve">General Policy &amp; Governance: Support the maintenance and updating of company policies to ensure compliance with legal &amp; agreed governance </w:t>
            </w:r>
            <w:r w:rsidR="00DE6F2B">
              <w:t>standards and</w:t>
            </w:r>
            <w:r>
              <w:t xml:space="preserve"> assist with governance frameworks for policy communication and adherence. </w:t>
            </w:r>
          </w:p>
          <w:p w14:paraId="4270D207" w14:textId="5DB8F562" w:rsidR="00BC6C5D" w:rsidRDefault="00BC6C5D" w:rsidP="00DE6F2B">
            <w:pPr>
              <w:numPr>
                <w:ilvl w:val="0"/>
                <w:numId w:val="1"/>
              </w:numPr>
              <w:spacing w:after="34" w:line="239" w:lineRule="auto"/>
              <w:ind w:hanging="360"/>
              <w:jc w:val="both"/>
            </w:pPr>
            <w:r>
              <w:t>Regulatory Affairs: Monitor regulatory developments relevant to the organisation's industry and support compliance activities, including new Own Brand goods and the relevant consumer protection legislation, escalating issues where appropriate.</w:t>
            </w:r>
          </w:p>
          <w:p w14:paraId="34F24A43" w14:textId="77777777" w:rsidR="00BC6C5D" w:rsidRDefault="00BC6C5D" w:rsidP="00DE6F2B">
            <w:pPr>
              <w:numPr>
                <w:ilvl w:val="0"/>
                <w:numId w:val="1"/>
              </w:numPr>
              <w:spacing w:after="34" w:line="240" w:lineRule="auto"/>
              <w:ind w:hanging="360"/>
              <w:jc w:val="both"/>
            </w:pPr>
            <w:r>
              <w:t>Intellectual Property Protection: Support the protection of the organisation's intellectual property rights including trademarks and branding matters, by assisting with registrations, portfolio management and liaison with external advisers as required.</w:t>
            </w:r>
          </w:p>
          <w:p w14:paraId="79BA232C" w14:textId="77777777" w:rsidR="00BC6C5D" w:rsidRDefault="00BC6C5D" w:rsidP="00DE6F2B">
            <w:pPr>
              <w:numPr>
                <w:ilvl w:val="0"/>
                <w:numId w:val="1"/>
              </w:numPr>
              <w:spacing w:after="34" w:line="240" w:lineRule="auto"/>
              <w:ind w:hanging="360"/>
              <w:jc w:val="both"/>
            </w:pPr>
            <w:r>
              <w:t>Ad-hoc Activities: Undertake various appropriate tasks as required by the business.</w:t>
            </w:r>
          </w:p>
          <w:p w14:paraId="74D2D642" w14:textId="16DCF010" w:rsidR="00BC6C5D" w:rsidRPr="00BC6C5D" w:rsidRDefault="00BC6C5D" w:rsidP="00BC6C5D">
            <w:pPr>
              <w:spacing w:after="34" w:line="240" w:lineRule="auto"/>
            </w:pPr>
          </w:p>
        </w:tc>
      </w:tr>
      <w:tr w:rsidR="00BC6C5D" w14:paraId="43E16693" w14:textId="77777777" w:rsidTr="00DE6F2B">
        <w:trPr>
          <w:trHeight w:val="276"/>
        </w:trPr>
        <w:tc>
          <w:tcPr>
            <w:tcW w:w="1003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6DE2940" w14:textId="3AA88A92" w:rsidR="00BC6C5D" w:rsidRDefault="00BC6C5D" w:rsidP="00BC6C5D">
            <w:pPr>
              <w:rPr>
                <w:b/>
              </w:rPr>
            </w:pPr>
            <w:r>
              <w:rPr>
                <w:b/>
              </w:rPr>
              <w:lastRenderedPageBreak/>
              <w:t>Section 4: Person specification</w:t>
            </w:r>
            <w:r w:rsidR="00DE6F2B">
              <w:rPr>
                <w:b/>
              </w:rPr>
              <w:t>:</w:t>
            </w:r>
          </w:p>
        </w:tc>
      </w:tr>
      <w:tr w:rsidR="00BC6C5D" w14:paraId="01A6388E" w14:textId="77777777" w:rsidTr="00BC6C5D">
        <w:trPr>
          <w:trHeight w:val="276"/>
        </w:trPr>
        <w:tc>
          <w:tcPr>
            <w:tcW w:w="10032" w:type="dxa"/>
            <w:gridSpan w:val="2"/>
            <w:tcBorders>
              <w:top w:val="single" w:sz="4" w:space="0" w:color="000000"/>
              <w:left w:val="single" w:sz="4" w:space="0" w:color="000000"/>
              <w:bottom w:val="single" w:sz="4" w:space="0" w:color="000000"/>
              <w:right w:val="single" w:sz="4" w:space="0" w:color="000000"/>
            </w:tcBorders>
          </w:tcPr>
          <w:p w14:paraId="5073C914" w14:textId="4C4793A4" w:rsidR="00BC6C5D" w:rsidRDefault="00BC6C5D" w:rsidP="00BC6C5D">
            <w:r>
              <w:rPr>
                <w:b/>
              </w:rPr>
              <w:t>Knowledge, skills and experience required:</w:t>
            </w:r>
          </w:p>
          <w:p w14:paraId="23AC7F0C" w14:textId="77777777" w:rsidR="00BC6C5D" w:rsidRPr="00DE6F2B" w:rsidRDefault="00BC6C5D" w:rsidP="00BC6C5D">
            <w:pPr>
              <w:spacing w:after="24"/>
              <w:rPr>
                <w:bCs/>
              </w:rPr>
            </w:pPr>
          </w:p>
          <w:p w14:paraId="3B4AED5F" w14:textId="66FA1961" w:rsidR="00BC6C5D" w:rsidRDefault="00BC6C5D" w:rsidP="00BC6C5D">
            <w:pPr>
              <w:spacing w:after="24"/>
            </w:pPr>
            <w:r>
              <w:rPr>
                <w:b/>
              </w:rPr>
              <w:t xml:space="preserve">Essential </w:t>
            </w:r>
          </w:p>
          <w:p w14:paraId="44812A2E" w14:textId="6E943EEE" w:rsidR="00BC6C5D" w:rsidRDefault="00BC6C5D" w:rsidP="00DE6F2B">
            <w:pPr>
              <w:numPr>
                <w:ilvl w:val="0"/>
                <w:numId w:val="2"/>
              </w:numPr>
              <w:spacing w:after="46" w:line="240" w:lineRule="auto"/>
              <w:ind w:hanging="360"/>
              <w:jc w:val="both"/>
            </w:pPr>
            <w:r>
              <w:t>Qualified Solicitor with at least 2+ years post-qualification experience in a corporate, commercial or private practice legal environment.</w:t>
            </w:r>
          </w:p>
          <w:p w14:paraId="5C63A215" w14:textId="77777777" w:rsidR="00BC6C5D" w:rsidRDefault="00BC6C5D" w:rsidP="00DE6F2B">
            <w:pPr>
              <w:numPr>
                <w:ilvl w:val="0"/>
                <w:numId w:val="2"/>
              </w:numPr>
              <w:ind w:hanging="360"/>
              <w:jc w:val="both"/>
            </w:pPr>
            <w:r>
              <w:t xml:space="preserve">Proven track record in contract negotiation and management. </w:t>
            </w:r>
          </w:p>
          <w:p w14:paraId="754DDA5D" w14:textId="77777777" w:rsidR="00BC6C5D" w:rsidRDefault="00BC6C5D" w:rsidP="00DE6F2B">
            <w:pPr>
              <w:numPr>
                <w:ilvl w:val="0"/>
                <w:numId w:val="2"/>
              </w:numPr>
              <w:ind w:hanging="360"/>
              <w:jc w:val="both"/>
            </w:pPr>
            <w:r>
              <w:t xml:space="preserve">Excellent analytical and problem-solving skills with attention to detail. </w:t>
            </w:r>
          </w:p>
          <w:p w14:paraId="46BF20B7" w14:textId="77777777" w:rsidR="00BC6C5D" w:rsidRDefault="00BC6C5D" w:rsidP="00DE6F2B">
            <w:pPr>
              <w:numPr>
                <w:ilvl w:val="0"/>
                <w:numId w:val="2"/>
              </w:numPr>
              <w:ind w:hanging="360"/>
              <w:jc w:val="both"/>
            </w:pPr>
            <w:r>
              <w:t xml:space="preserve">Ability to work autonomously and manage multiple priorities effectively. </w:t>
            </w:r>
          </w:p>
          <w:p w14:paraId="2D56DAEF" w14:textId="77777777" w:rsidR="00BC6C5D" w:rsidRDefault="00BC6C5D" w:rsidP="00DE6F2B">
            <w:pPr>
              <w:numPr>
                <w:ilvl w:val="0"/>
                <w:numId w:val="2"/>
              </w:numPr>
              <w:ind w:hanging="360"/>
              <w:jc w:val="both"/>
            </w:pPr>
            <w:r>
              <w:t xml:space="preserve">Strong interpersonal and communication skills, with the ability to influence stakeholders at all levels. </w:t>
            </w:r>
          </w:p>
          <w:p w14:paraId="7819BD1E" w14:textId="77777777" w:rsidR="00BC6C5D" w:rsidRDefault="00BC6C5D" w:rsidP="00DE6F2B">
            <w:pPr>
              <w:spacing w:after="24"/>
              <w:jc w:val="both"/>
            </w:pPr>
            <w:r>
              <w:rPr>
                <w:b/>
              </w:rPr>
              <w:t xml:space="preserve">Desirable </w:t>
            </w:r>
          </w:p>
          <w:p w14:paraId="337C96DD" w14:textId="77777777" w:rsidR="00520BE7" w:rsidRPr="00520BE7" w:rsidRDefault="00BC6C5D" w:rsidP="00BC6C5D">
            <w:pPr>
              <w:numPr>
                <w:ilvl w:val="0"/>
                <w:numId w:val="2"/>
              </w:numPr>
              <w:ind w:hanging="360"/>
              <w:jc w:val="both"/>
            </w:pPr>
            <w:r>
              <w:rPr>
                <w:color w:val="201F1E"/>
              </w:rPr>
              <w:t xml:space="preserve">Previous in-house legal experience desirable but not essential. </w:t>
            </w:r>
          </w:p>
          <w:p w14:paraId="1C8F590B" w14:textId="77777777" w:rsidR="00BC6C5D" w:rsidRDefault="00BC6C5D" w:rsidP="00BC6C5D">
            <w:pPr>
              <w:numPr>
                <w:ilvl w:val="0"/>
                <w:numId w:val="2"/>
              </w:numPr>
              <w:ind w:hanging="360"/>
              <w:jc w:val="both"/>
            </w:pPr>
            <w:r>
              <w:t>Experience in similar type of sales and distribution business.</w:t>
            </w:r>
          </w:p>
          <w:p w14:paraId="70FEFFBF" w14:textId="4E9133C9" w:rsidR="00520BE7" w:rsidRPr="00BC6C5D" w:rsidRDefault="00520BE7" w:rsidP="00520BE7">
            <w:pPr>
              <w:jc w:val="both"/>
            </w:pPr>
          </w:p>
        </w:tc>
      </w:tr>
      <w:tr w:rsidR="00BC6C5D" w14:paraId="0AF41DD3" w14:textId="77777777" w:rsidTr="00BC6C5D">
        <w:trPr>
          <w:trHeight w:val="276"/>
        </w:trPr>
        <w:tc>
          <w:tcPr>
            <w:tcW w:w="1003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960A057" w14:textId="71696EE8" w:rsidR="00BC6C5D" w:rsidRDefault="00BC6C5D" w:rsidP="00BC6C5D">
            <w:pPr>
              <w:rPr>
                <w:b/>
              </w:rPr>
            </w:pPr>
            <w:r>
              <w:rPr>
                <w:b/>
              </w:rPr>
              <w:t>PenCarrie Values:</w:t>
            </w:r>
          </w:p>
        </w:tc>
      </w:tr>
      <w:tr w:rsidR="00BC6C5D" w14:paraId="2450EB2E" w14:textId="77777777" w:rsidTr="00DE6F2B">
        <w:trPr>
          <w:trHeight w:val="5331"/>
        </w:trPr>
        <w:tc>
          <w:tcPr>
            <w:tcW w:w="10032" w:type="dxa"/>
            <w:gridSpan w:val="2"/>
            <w:tcBorders>
              <w:top w:val="single" w:sz="4" w:space="0" w:color="000000"/>
              <w:left w:val="single" w:sz="4" w:space="0" w:color="000000"/>
              <w:bottom w:val="single" w:sz="4" w:space="0" w:color="000000"/>
              <w:right w:val="single" w:sz="4" w:space="0" w:color="000000"/>
            </w:tcBorders>
          </w:tcPr>
          <w:p w14:paraId="18FF84CB" w14:textId="77777777" w:rsidR="00BC6C5D" w:rsidRDefault="00BC6C5D" w:rsidP="00BC6C5D">
            <w:pPr>
              <w:spacing w:after="24"/>
            </w:pPr>
            <w:r>
              <w:rPr>
                <w:b/>
                <w:color w:val="F78609"/>
              </w:rPr>
              <w:t xml:space="preserve">We’re dedicated to customer success </w:t>
            </w:r>
          </w:p>
          <w:p w14:paraId="1D9613E6" w14:textId="77777777" w:rsidR="00BC6C5D" w:rsidRDefault="00BC6C5D" w:rsidP="00BC6C5D">
            <w:pPr>
              <w:numPr>
                <w:ilvl w:val="0"/>
                <w:numId w:val="3"/>
              </w:numPr>
              <w:spacing w:after="37"/>
              <w:ind w:hanging="360"/>
            </w:pPr>
            <w:r>
              <w:t xml:space="preserve">Every one of us can make a difference to our customers’ experience </w:t>
            </w:r>
          </w:p>
          <w:p w14:paraId="21862238" w14:textId="77777777" w:rsidR="00BC6C5D" w:rsidRDefault="00BC6C5D" w:rsidP="00BC6C5D">
            <w:pPr>
              <w:numPr>
                <w:ilvl w:val="0"/>
                <w:numId w:val="3"/>
              </w:numPr>
              <w:spacing w:after="39"/>
              <w:ind w:hanging="360"/>
            </w:pPr>
            <w:r>
              <w:t xml:space="preserve">We actively look for ways to help our customers succeed </w:t>
            </w:r>
          </w:p>
          <w:p w14:paraId="31DB72A5" w14:textId="77777777" w:rsidR="00BC6C5D" w:rsidRDefault="00BC6C5D" w:rsidP="00BC6C5D">
            <w:pPr>
              <w:numPr>
                <w:ilvl w:val="0"/>
                <w:numId w:val="3"/>
              </w:numPr>
              <w:spacing w:after="192"/>
              <w:ind w:hanging="360"/>
            </w:pPr>
            <w:r>
              <w:t xml:space="preserve">Our customers are considered in every decision we make </w:t>
            </w:r>
          </w:p>
          <w:p w14:paraId="4AC9F58A" w14:textId="77777777" w:rsidR="00BC6C5D" w:rsidRDefault="00BC6C5D" w:rsidP="00BC6C5D">
            <w:pPr>
              <w:spacing w:after="24"/>
            </w:pPr>
            <w:r>
              <w:rPr>
                <w:b/>
                <w:color w:val="003399"/>
              </w:rPr>
              <w:t xml:space="preserve">We build strong and respectful relationships </w:t>
            </w:r>
          </w:p>
          <w:p w14:paraId="40DD818E" w14:textId="77777777" w:rsidR="00BC6C5D" w:rsidRDefault="00BC6C5D" w:rsidP="00BC6C5D">
            <w:pPr>
              <w:numPr>
                <w:ilvl w:val="0"/>
                <w:numId w:val="3"/>
              </w:numPr>
              <w:spacing w:after="36"/>
              <w:ind w:hanging="360"/>
            </w:pPr>
            <w:r>
              <w:t xml:space="preserve">We create a kind, safe and inclusive workplace where everyone feels they can thrive </w:t>
            </w:r>
          </w:p>
          <w:p w14:paraId="0CBFF6F0" w14:textId="77777777" w:rsidR="00BC6C5D" w:rsidRDefault="00BC6C5D" w:rsidP="00BC6C5D">
            <w:pPr>
              <w:numPr>
                <w:ilvl w:val="0"/>
                <w:numId w:val="3"/>
              </w:numPr>
              <w:spacing w:after="39"/>
              <w:ind w:hanging="360"/>
            </w:pPr>
            <w:r>
              <w:t xml:space="preserve">We collaborate to find solutions and build ideas </w:t>
            </w:r>
          </w:p>
          <w:p w14:paraId="3B70FA34" w14:textId="77777777" w:rsidR="00BC6C5D" w:rsidRDefault="00BC6C5D" w:rsidP="00BC6C5D">
            <w:pPr>
              <w:numPr>
                <w:ilvl w:val="0"/>
                <w:numId w:val="3"/>
              </w:numPr>
              <w:spacing w:after="37"/>
              <w:ind w:hanging="360"/>
            </w:pPr>
            <w:r>
              <w:t xml:space="preserve">We build trust in each other </w:t>
            </w:r>
          </w:p>
          <w:p w14:paraId="783B6C63" w14:textId="534D6411" w:rsidR="00BC6C5D" w:rsidRDefault="00BC6C5D" w:rsidP="00BC6C5D">
            <w:pPr>
              <w:numPr>
                <w:ilvl w:val="0"/>
                <w:numId w:val="3"/>
              </w:numPr>
              <w:spacing w:after="192"/>
              <w:ind w:hanging="360"/>
            </w:pPr>
            <w:r>
              <w:t>We’re prepared to have the difficult conversations, giving and receiving feedback</w:t>
            </w:r>
          </w:p>
          <w:p w14:paraId="30E82560" w14:textId="77777777" w:rsidR="00BC6C5D" w:rsidRDefault="00BC6C5D" w:rsidP="00BC6C5D">
            <w:pPr>
              <w:spacing w:after="24"/>
            </w:pPr>
            <w:r>
              <w:rPr>
                <w:b/>
                <w:color w:val="CC0066"/>
              </w:rPr>
              <w:t xml:space="preserve">We look forward and embrace change </w:t>
            </w:r>
          </w:p>
          <w:p w14:paraId="54EEA638" w14:textId="77777777" w:rsidR="00BC6C5D" w:rsidRDefault="00BC6C5D" w:rsidP="00BC6C5D">
            <w:pPr>
              <w:numPr>
                <w:ilvl w:val="0"/>
                <w:numId w:val="3"/>
              </w:numPr>
              <w:spacing w:after="40"/>
              <w:ind w:hanging="360"/>
            </w:pPr>
            <w:r>
              <w:t xml:space="preserve">We’re bold, brave and inspirational </w:t>
            </w:r>
          </w:p>
          <w:p w14:paraId="626BA415" w14:textId="77777777" w:rsidR="00BC6C5D" w:rsidRDefault="00BC6C5D" w:rsidP="00BC6C5D">
            <w:pPr>
              <w:numPr>
                <w:ilvl w:val="0"/>
                <w:numId w:val="3"/>
              </w:numPr>
              <w:spacing w:after="37"/>
              <w:ind w:hanging="360"/>
            </w:pPr>
            <w:r>
              <w:t xml:space="preserve">We look up, look out and look forward </w:t>
            </w:r>
          </w:p>
          <w:p w14:paraId="05D70113" w14:textId="0C3BDCC9" w:rsidR="00BC6C5D" w:rsidRPr="00DE6F2B" w:rsidRDefault="00BC6C5D" w:rsidP="00DE6F2B">
            <w:pPr>
              <w:numPr>
                <w:ilvl w:val="0"/>
                <w:numId w:val="3"/>
              </w:numPr>
              <w:spacing w:after="192"/>
              <w:ind w:hanging="360"/>
            </w:pPr>
            <w:r>
              <w:t xml:space="preserve">We anticipate and embrace change </w:t>
            </w:r>
          </w:p>
        </w:tc>
      </w:tr>
    </w:tbl>
    <w:p w14:paraId="69946AA0" w14:textId="77777777" w:rsidR="00D34803" w:rsidRDefault="00D34803">
      <w:pPr>
        <w:spacing w:after="0"/>
        <w:ind w:left="-1440" w:right="10466"/>
      </w:pPr>
    </w:p>
    <w:tbl>
      <w:tblPr>
        <w:tblStyle w:val="TableGrid"/>
        <w:tblW w:w="10032" w:type="dxa"/>
        <w:tblInd w:w="-354" w:type="dxa"/>
        <w:tblCellMar>
          <w:top w:w="47" w:type="dxa"/>
          <w:left w:w="107" w:type="dxa"/>
          <w:right w:w="26" w:type="dxa"/>
        </w:tblCellMar>
        <w:tblLook w:val="04A0" w:firstRow="1" w:lastRow="0" w:firstColumn="1" w:lastColumn="0" w:noHBand="0" w:noVBand="1"/>
      </w:tblPr>
      <w:tblGrid>
        <w:gridCol w:w="10032"/>
      </w:tblGrid>
      <w:tr w:rsidR="00D34803" w14:paraId="573E5E80" w14:textId="77777777" w:rsidTr="00BC6C5D">
        <w:trPr>
          <w:trHeight w:val="3913"/>
        </w:trPr>
        <w:tc>
          <w:tcPr>
            <w:tcW w:w="10032" w:type="dxa"/>
            <w:tcBorders>
              <w:top w:val="single" w:sz="4" w:space="0" w:color="000000"/>
              <w:left w:val="single" w:sz="4" w:space="0" w:color="000000"/>
              <w:bottom w:val="single" w:sz="4" w:space="0" w:color="000000"/>
              <w:right w:val="single" w:sz="4" w:space="0" w:color="000000"/>
            </w:tcBorders>
          </w:tcPr>
          <w:p w14:paraId="781CFA6D" w14:textId="00787D70" w:rsidR="00D34803" w:rsidRDefault="00BC6C5D">
            <w:pPr>
              <w:spacing w:after="24"/>
            </w:pPr>
            <w:r>
              <w:rPr>
                <w:noProof/>
              </w:rPr>
              <w:lastRenderedPageBreak/>
              <w:drawing>
                <wp:anchor distT="0" distB="0" distL="114300" distR="114300" simplePos="0" relativeHeight="251658240" behindDoc="0" locked="0" layoutInCell="1" allowOverlap="0" wp14:anchorId="0C2DC81C" wp14:editId="32A53130">
                  <wp:simplePos x="0" y="0"/>
                  <wp:positionH relativeFrom="column">
                    <wp:posOffset>4593590</wp:posOffset>
                  </wp:positionH>
                  <wp:positionV relativeFrom="paragraph">
                    <wp:posOffset>64770</wp:posOffset>
                  </wp:positionV>
                  <wp:extent cx="1477010" cy="1477010"/>
                  <wp:effectExtent l="0" t="0" r="0" b="0"/>
                  <wp:wrapSquare wrapText="bothSides"/>
                  <wp:docPr id="450" name="Picture 450"/>
                  <wp:cNvGraphicFramePr/>
                  <a:graphic xmlns:a="http://schemas.openxmlformats.org/drawingml/2006/main">
                    <a:graphicData uri="http://schemas.openxmlformats.org/drawingml/2006/picture">
                      <pic:pic xmlns:pic="http://schemas.openxmlformats.org/drawingml/2006/picture">
                        <pic:nvPicPr>
                          <pic:cNvPr id="450" name="Picture 450"/>
                          <pic:cNvPicPr/>
                        </pic:nvPicPr>
                        <pic:blipFill>
                          <a:blip r:embed="rId7"/>
                          <a:stretch>
                            <a:fillRect/>
                          </a:stretch>
                        </pic:blipFill>
                        <pic:spPr>
                          <a:xfrm>
                            <a:off x="0" y="0"/>
                            <a:ext cx="1477010" cy="1477010"/>
                          </a:xfrm>
                          <a:prstGeom prst="rect">
                            <a:avLst/>
                          </a:prstGeom>
                        </pic:spPr>
                      </pic:pic>
                    </a:graphicData>
                  </a:graphic>
                </wp:anchor>
              </w:drawing>
            </w:r>
            <w:r w:rsidR="00740CC0">
              <w:rPr>
                <w:b/>
                <w:color w:val="808080"/>
              </w:rPr>
              <w:t xml:space="preserve">We’re proud of everything we do </w:t>
            </w:r>
          </w:p>
          <w:p w14:paraId="0AC016A5" w14:textId="5B71946C" w:rsidR="00D34803" w:rsidRDefault="00740CC0">
            <w:pPr>
              <w:numPr>
                <w:ilvl w:val="0"/>
                <w:numId w:val="3"/>
              </w:numPr>
              <w:spacing w:after="39"/>
              <w:ind w:hanging="360"/>
            </w:pPr>
            <w:r>
              <w:t xml:space="preserve">We strive to improve in everything we do </w:t>
            </w:r>
          </w:p>
          <w:p w14:paraId="063172EA" w14:textId="77777777" w:rsidR="00D34803" w:rsidRDefault="00740CC0">
            <w:pPr>
              <w:numPr>
                <w:ilvl w:val="0"/>
                <w:numId w:val="3"/>
              </w:numPr>
              <w:spacing w:after="36"/>
              <w:ind w:hanging="360"/>
            </w:pPr>
            <w:r>
              <w:t xml:space="preserve">We celebrate our achievements </w:t>
            </w:r>
          </w:p>
          <w:p w14:paraId="32122C9D" w14:textId="38967E4F" w:rsidR="00D34803" w:rsidRDefault="00740CC0">
            <w:pPr>
              <w:numPr>
                <w:ilvl w:val="0"/>
                <w:numId w:val="3"/>
              </w:numPr>
              <w:spacing w:after="39"/>
              <w:ind w:hanging="360"/>
            </w:pPr>
            <w:r>
              <w:t xml:space="preserve">We all have a voice </w:t>
            </w:r>
          </w:p>
          <w:p w14:paraId="7E463FF3" w14:textId="77777777" w:rsidR="00D34803" w:rsidRDefault="00740CC0">
            <w:pPr>
              <w:numPr>
                <w:ilvl w:val="0"/>
                <w:numId w:val="3"/>
              </w:numPr>
              <w:spacing w:after="190"/>
              <w:ind w:hanging="360"/>
            </w:pPr>
            <w:r>
              <w:t xml:space="preserve">We know our priorities and implement with conviction and pace </w:t>
            </w:r>
          </w:p>
          <w:p w14:paraId="681040F7" w14:textId="77777777" w:rsidR="00D34803" w:rsidRDefault="00740CC0">
            <w:pPr>
              <w:spacing w:after="24"/>
            </w:pPr>
            <w:r>
              <w:rPr>
                <w:b/>
                <w:color w:val="009900"/>
              </w:rPr>
              <w:t xml:space="preserve">We grow responsibly </w:t>
            </w:r>
          </w:p>
          <w:p w14:paraId="52992EF4" w14:textId="77777777" w:rsidR="00D34803" w:rsidRDefault="00740CC0">
            <w:pPr>
              <w:numPr>
                <w:ilvl w:val="0"/>
                <w:numId w:val="3"/>
              </w:numPr>
              <w:spacing w:after="39"/>
              <w:ind w:hanging="360"/>
            </w:pPr>
            <w:r>
              <w:t xml:space="preserve">We use our resources wisely </w:t>
            </w:r>
          </w:p>
          <w:p w14:paraId="59AB1DB5" w14:textId="77777777" w:rsidR="00D34803" w:rsidRDefault="00740CC0">
            <w:pPr>
              <w:numPr>
                <w:ilvl w:val="0"/>
                <w:numId w:val="3"/>
              </w:numPr>
              <w:spacing w:after="39"/>
              <w:ind w:hanging="360"/>
            </w:pPr>
            <w:r>
              <w:t xml:space="preserve">We’re clear and transparent in our communications to all our stakeholders </w:t>
            </w:r>
          </w:p>
          <w:p w14:paraId="149F8525" w14:textId="77777777" w:rsidR="00D34803" w:rsidRDefault="00740CC0">
            <w:pPr>
              <w:numPr>
                <w:ilvl w:val="0"/>
                <w:numId w:val="3"/>
              </w:numPr>
              <w:spacing w:after="36"/>
              <w:ind w:hanging="360"/>
            </w:pPr>
            <w:r>
              <w:t xml:space="preserve">We’re committed to reducing our environmental impact </w:t>
            </w:r>
          </w:p>
          <w:p w14:paraId="46C38E7E" w14:textId="77777777" w:rsidR="00D34803" w:rsidRDefault="00740CC0">
            <w:pPr>
              <w:numPr>
                <w:ilvl w:val="0"/>
                <w:numId w:val="3"/>
              </w:numPr>
              <w:ind w:hanging="360"/>
            </w:pPr>
            <w:r>
              <w:t xml:space="preserve">We give back to our communities </w:t>
            </w:r>
          </w:p>
        </w:tc>
      </w:tr>
      <w:tr w:rsidR="00D34803" w14:paraId="1B3BCE58" w14:textId="77777777">
        <w:trPr>
          <w:trHeight w:val="276"/>
        </w:trPr>
        <w:tc>
          <w:tcPr>
            <w:tcW w:w="10032" w:type="dxa"/>
            <w:tcBorders>
              <w:top w:val="single" w:sz="4" w:space="0" w:color="000000"/>
              <w:left w:val="single" w:sz="4" w:space="0" w:color="000000"/>
              <w:bottom w:val="single" w:sz="4" w:space="0" w:color="000000"/>
              <w:right w:val="single" w:sz="4" w:space="0" w:color="000000"/>
            </w:tcBorders>
            <w:shd w:val="clear" w:color="auto" w:fill="D9D9D9"/>
          </w:tcPr>
          <w:p w14:paraId="11D45E8C" w14:textId="77777777" w:rsidR="00D34803" w:rsidRDefault="00740CC0">
            <w:r>
              <w:rPr>
                <w:b/>
              </w:rPr>
              <w:t xml:space="preserve">Section 5: Job description prepared by </w:t>
            </w:r>
          </w:p>
        </w:tc>
      </w:tr>
      <w:tr w:rsidR="00D34803" w14:paraId="1F448110" w14:textId="77777777">
        <w:trPr>
          <w:trHeight w:val="548"/>
        </w:trPr>
        <w:tc>
          <w:tcPr>
            <w:tcW w:w="10032" w:type="dxa"/>
            <w:tcBorders>
              <w:top w:val="single" w:sz="4" w:space="0" w:color="000000"/>
              <w:left w:val="single" w:sz="4" w:space="0" w:color="000000"/>
              <w:bottom w:val="single" w:sz="4" w:space="0" w:color="000000"/>
              <w:right w:val="single" w:sz="4" w:space="0" w:color="000000"/>
            </w:tcBorders>
          </w:tcPr>
          <w:p w14:paraId="6067C342" w14:textId="022959F1" w:rsidR="00D34803" w:rsidRDefault="00740CC0">
            <w:r>
              <w:rPr>
                <w:b/>
              </w:rPr>
              <w:t xml:space="preserve">Job title: </w:t>
            </w:r>
            <w:r w:rsidR="00D37217">
              <w:rPr>
                <w:b/>
              </w:rPr>
              <w:t>Head of Legal</w:t>
            </w:r>
          </w:p>
          <w:p w14:paraId="07BAAB26" w14:textId="07B18DF4" w:rsidR="00D34803" w:rsidRDefault="00740CC0">
            <w:r>
              <w:rPr>
                <w:b/>
              </w:rPr>
              <w:t xml:space="preserve">Date: </w:t>
            </w:r>
            <w:r w:rsidR="00D37217">
              <w:rPr>
                <w:b/>
              </w:rPr>
              <w:t xml:space="preserve">May </w:t>
            </w:r>
            <w:r w:rsidR="00BC6C5D">
              <w:rPr>
                <w:b/>
              </w:rPr>
              <w:t>20</w:t>
            </w:r>
            <w:r w:rsidR="00536F7B">
              <w:rPr>
                <w:b/>
              </w:rPr>
              <w:t>26</w:t>
            </w:r>
            <w:r>
              <w:rPr>
                <w:b/>
              </w:rPr>
              <w:t xml:space="preserve"> </w:t>
            </w:r>
          </w:p>
        </w:tc>
      </w:tr>
    </w:tbl>
    <w:p w14:paraId="2217F564" w14:textId="77777777" w:rsidR="00D34803" w:rsidRDefault="00740CC0">
      <w:pPr>
        <w:spacing w:after="0"/>
        <w:ind w:left="-360"/>
        <w:jc w:val="both"/>
      </w:pPr>
      <w:r>
        <w:rPr>
          <w:i/>
        </w:rPr>
        <w:t xml:space="preserve"> </w:t>
      </w:r>
    </w:p>
    <w:sectPr w:rsidR="00D34803">
      <w:headerReference w:type="even" r:id="rId8"/>
      <w:headerReference w:type="default" r:id="rId9"/>
      <w:footerReference w:type="default" r:id="rId10"/>
      <w:headerReference w:type="first" r:id="rId11"/>
      <w:pgSz w:w="11906" w:h="16838"/>
      <w:pgMar w:top="1440" w:right="1440" w:bottom="1440" w:left="1440" w:header="70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FD31E" w14:textId="77777777" w:rsidR="00437B63" w:rsidRDefault="00437B63">
      <w:pPr>
        <w:spacing w:after="0" w:line="240" w:lineRule="auto"/>
      </w:pPr>
      <w:r>
        <w:separator/>
      </w:r>
    </w:p>
  </w:endnote>
  <w:endnote w:type="continuationSeparator" w:id="0">
    <w:p w14:paraId="49A8881C" w14:textId="77777777" w:rsidR="00437B63" w:rsidRDefault="00437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3944369"/>
      <w:docPartObj>
        <w:docPartGallery w:val="Page Numbers (Bottom of Page)"/>
        <w:docPartUnique/>
      </w:docPartObj>
    </w:sdtPr>
    <w:sdtEndPr>
      <w:rPr>
        <w:noProof/>
      </w:rPr>
    </w:sdtEndPr>
    <w:sdtContent>
      <w:p w14:paraId="1C340ABB" w14:textId="2B43887C" w:rsidR="006A79D8" w:rsidRDefault="006A79D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83B4D0" w14:textId="77777777" w:rsidR="006A79D8" w:rsidRDefault="006A79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5DC5D" w14:textId="77777777" w:rsidR="00437B63" w:rsidRDefault="00437B63">
      <w:pPr>
        <w:spacing w:after="0" w:line="240" w:lineRule="auto"/>
      </w:pPr>
      <w:r>
        <w:separator/>
      </w:r>
    </w:p>
  </w:footnote>
  <w:footnote w:type="continuationSeparator" w:id="0">
    <w:p w14:paraId="5F02B11F" w14:textId="77777777" w:rsidR="00437B63" w:rsidRDefault="00437B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F54CC" w14:textId="77777777" w:rsidR="00D34803" w:rsidRDefault="00740CC0">
    <w:pPr>
      <w:spacing w:after="0"/>
      <w:ind w:left="-360" w:right="480"/>
    </w:pPr>
    <w:r>
      <w:rPr>
        <w:noProof/>
      </w:rPr>
      <w:drawing>
        <wp:anchor distT="0" distB="0" distL="114300" distR="114300" simplePos="0" relativeHeight="251658240" behindDoc="0" locked="0" layoutInCell="1" allowOverlap="0" wp14:anchorId="24343B1A" wp14:editId="02CC218D">
          <wp:simplePos x="0" y="0"/>
          <wp:positionH relativeFrom="page">
            <wp:posOffset>3323082</wp:posOffset>
          </wp:positionH>
          <wp:positionV relativeFrom="page">
            <wp:posOffset>449580</wp:posOffset>
          </wp:positionV>
          <wp:extent cx="3018536" cy="379095"/>
          <wp:effectExtent l="0" t="0" r="0" b="0"/>
          <wp:wrapSquare wrapText="bothSides"/>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stretch>
                    <a:fillRect/>
                  </a:stretch>
                </pic:blipFill>
                <pic:spPr>
                  <a:xfrm>
                    <a:off x="0" y="0"/>
                    <a:ext cx="3018536" cy="379095"/>
                  </a:xfrm>
                  <a:prstGeom prst="rect">
                    <a:avLst/>
                  </a:prstGeom>
                </pic:spPr>
              </pic:pic>
            </a:graphicData>
          </a:graphic>
        </wp:anchor>
      </w:drawing>
    </w:r>
    <w:r>
      <w:rPr>
        <w:b/>
        <w:sz w:val="28"/>
      </w:rPr>
      <w:t>JOB DESCRIPTION</w:t>
    </w:r>
    <w:r>
      <w:t xml:space="preserve">                                           </w:t>
    </w:r>
  </w:p>
  <w:p w14:paraId="58B4D965" w14:textId="77777777" w:rsidR="00D34803" w:rsidRDefault="00740CC0">
    <w:pPr>
      <w:spacing w:after="0"/>
      <w:ind w:left="-36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DD894" w14:textId="77777777" w:rsidR="00D34803" w:rsidRDefault="00740CC0">
    <w:pPr>
      <w:spacing w:after="0"/>
      <w:ind w:left="-360" w:right="480"/>
    </w:pPr>
    <w:r>
      <w:rPr>
        <w:noProof/>
      </w:rPr>
      <w:drawing>
        <wp:anchor distT="0" distB="0" distL="114300" distR="114300" simplePos="0" relativeHeight="251659264" behindDoc="0" locked="0" layoutInCell="1" allowOverlap="0" wp14:anchorId="6C2FCE2D" wp14:editId="010577C9">
          <wp:simplePos x="0" y="0"/>
          <wp:positionH relativeFrom="page">
            <wp:posOffset>3323082</wp:posOffset>
          </wp:positionH>
          <wp:positionV relativeFrom="page">
            <wp:posOffset>449580</wp:posOffset>
          </wp:positionV>
          <wp:extent cx="3018536" cy="379095"/>
          <wp:effectExtent l="0" t="0" r="0" b="0"/>
          <wp:wrapSquare wrapText="bothSides"/>
          <wp:docPr id="339428181" name="Picture 33942818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stretch>
                    <a:fillRect/>
                  </a:stretch>
                </pic:blipFill>
                <pic:spPr>
                  <a:xfrm>
                    <a:off x="0" y="0"/>
                    <a:ext cx="3018536" cy="379095"/>
                  </a:xfrm>
                  <a:prstGeom prst="rect">
                    <a:avLst/>
                  </a:prstGeom>
                </pic:spPr>
              </pic:pic>
            </a:graphicData>
          </a:graphic>
        </wp:anchor>
      </w:drawing>
    </w:r>
    <w:r>
      <w:rPr>
        <w:b/>
        <w:sz w:val="28"/>
      </w:rPr>
      <w:t>JOB DESCRIPTION</w:t>
    </w:r>
    <w:r>
      <w:t xml:space="preserve">                                           </w:t>
    </w:r>
  </w:p>
  <w:p w14:paraId="35BA7651" w14:textId="77777777" w:rsidR="00D34803" w:rsidRDefault="00740CC0">
    <w:pPr>
      <w:spacing w:after="0"/>
      <w:ind w:left="-360"/>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1E222" w14:textId="77777777" w:rsidR="00D34803" w:rsidRDefault="00740CC0">
    <w:pPr>
      <w:spacing w:after="0"/>
      <w:ind w:left="-360" w:right="480"/>
    </w:pPr>
    <w:r>
      <w:rPr>
        <w:noProof/>
      </w:rPr>
      <w:drawing>
        <wp:anchor distT="0" distB="0" distL="114300" distR="114300" simplePos="0" relativeHeight="251660288" behindDoc="0" locked="0" layoutInCell="1" allowOverlap="0" wp14:anchorId="49D0FF8F" wp14:editId="71E8EADD">
          <wp:simplePos x="0" y="0"/>
          <wp:positionH relativeFrom="page">
            <wp:posOffset>3323082</wp:posOffset>
          </wp:positionH>
          <wp:positionV relativeFrom="page">
            <wp:posOffset>449580</wp:posOffset>
          </wp:positionV>
          <wp:extent cx="3018536" cy="379095"/>
          <wp:effectExtent l="0" t="0" r="0" b="0"/>
          <wp:wrapSquare wrapText="bothSides"/>
          <wp:docPr id="212033130" name="Picture 212033130"/>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stretch>
                    <a:fillRect/>
                  </a:stretch>
                </pic:blipFill>
                <pic:spPr>
                  <a:xfrm>
                    <a:off x="0" y="0"/>
                    <a:ext cx="3018536" cy="379095"/>
                  </a:xfrm>
                  <a:prstGeom prst="rect">
                    <a:avLst/>
                  </a:prstGeom>
                </pic:spPr>
              </pic:pic>
            </a:graphicData>
          </a:graphic>
        </wp:anchor>
      </w:drawing>
    </w:r>
    <w:r>
      <w:rPr>
        <w:b/>
        <w:sz w:val="28"/>
      </w:rPr>
      <w:t>JOB DESCRIPTION</w:t>
    </w:r>
    <w:r>
      <w:t xml:space="preserve">                                           </w:t>
    </w:r>
  </w:p>
  <w:p w14:paraId="6E4CF87B" w14:textId="77777777" w:rsidR="00D34803" w:rsidRDefault="00740CC0">
    <w:pPr>
      <w:spacing w:after="0"/>
      <w:ind w:left="-36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C0881"/>
    <w:multiLevelType w:val="hybridMultilevel"/>
    <w:tmpl w:val="DDD0204C"/>
    <w:lvl w:ilvl="0" w:tplc="49F8236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CBC28B8">
      <w:start w:val="1"/>
      <w:numFmt w:val="lowerLetter"/>
      <w:lvlText w:val="%2"/>
      <w:lvlJc w:val="left"/>
      <w:pPr>
        <w:ind w:left="11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FFC2076">
      <w:start w:val="1"/>
      <w:numFmt w:val="lowerRoman"/>
      <w:lvlText w:val="%3"/>
      <w:lvlJc w:val="left"/>
      <w:pPr>
        <w:ind w:left="19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F98B606">
      <w:start w:val="1"/>
      <w:numFmt w:val="decimal"/>
      <w:lvlText w:val="%4"/>
      <w:lvlJc w:val="left"/>
      <w:pPr>
        <w:ind w:left="26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256627E">
      <w:start w:val="1"/>
      <w:numFmt w:val="lowerLetter"/>
      <w:lvlText w:val="%5"/>
      <w:lvlJc w:val="left"/>
      <w:pPr>
        <w:ind w:left="33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828055A">
      <w:start w:val="1"/>
      <w:numFmt w:val="lowerRoman"/>
      <w:lvlText w:val="%6"/>
      <w:lvlJc w:val="left"/>
      <w:pPr>
        <w:ind w:left="40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FBE2560">
      <w:start w:val="1"/>
      <w:numFmt w:val="decimal"/>
      <w:lvlText w:val="%7"/>
      <w:lvlJc w:val="left"/>
      <w:pPr>
        <w:ind w:left="47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94A6AD8">
      <w:start w:val="1"/>
      <w:numFmt w:val="lowerLetter"/>
      <w:lvlText w:val="%8"/>
      <w:lvlJc w:val="left"/>
      <w:pPr>
        <w:ind w:left="55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D301F3A">
      <w:start w:val="1"/>
      <w:numFmt w:val="lowerRoman"/>
      <w:lvlText w:val="%9"/>
      <w:lvlJc w:val="left"/>
      <w:pPr>
        <w:ind w:left="62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6A754A8"/>
    <w:multiLevelType w:val="hybridMultilevel"/>
    <w:tmpl w:val="CAE89AC4"/>
    <w:lvl w:ilvl="0" w:tplc="F9FAA52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266500">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F1685DC">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F844E52">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AB2CD00">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AB44D02">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872317E">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EDCF648">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D004DA8">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FFB036F"/>
    <w:multiLevelType w:val="hybridMultilevel"/>
    <w:tmpl w:val="DD3CD470"/>
    <w:lvl w:ilvl="0" w:tplc="65247BF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DA6058E">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30EEDA0">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3CC7C10">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ECCF43A">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660E332">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3FA2668">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8105EFE">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DBE0128">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380058270">
    <w:abstractNumId w:val="0"/>
  </w:num>
  <w:num w:numId="2" w16cid:durableId="256836925">
    <w:abstractNumId w:val="2"/>
  </w:num>
  <w:num w:numId="3" w16cid:durableId="4044997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803"/>
    <w:rsid w:val="0007485A"/>
    <w:rsid w:val="000C049C"/>
    <w:rsid w:val="000C594E"/>
    <w:rsid w:val="000E19DA"/>
    <w:rsid w:val="001744CF"/>
    <w:rsid w:val="0021233B"/>
    <w:rsid w:val="00274F31"/>
    <w:rsid w:val="002C5B91"/>
    <w:rsid w:val="002E20E9"/>
    <w:rsid w:val="0033187A"/>
    <w:rsid w:val="0035640B"/>
    <w:rsid w:val="003E535F"/>
    <w:rsid w:val="003E58E3"/>
    <w:rsid w:val="00400B00"/>
    <w:rsid w:val="00421661"/>
    <w:rsid w:val="0042222F"/>
    <w:rsid w:val="00437B63"/>
    <w:rsid w:val="004620B8"/>
    <w:rsid w:val="004752FD"/>
    <w:rsid w:val="00494579"/>
    <w:rsid w:val="004F1EE1"/>
    <w:rsid w:val="00502ADF"/>
    <w:rsid w:val="00520B0B"/>
    <w:rsid w:val="00520BE7"/>
    <w:rsid w:val="00536F7B"/>
    <w:rsid w:val="00571E49"/>
    <w:rsid w:val="005810FB"/>
    <w:rsid w:val="00582808"/>
    <w:rsid w:val="005948E8"/>
    <w:rsid w:val="005A600F"/>
    <w:rsid w:val="005E5BD4"/>
    <w:rsid w:val="005F0FD5"/>
    <w:rsid w:val="005F4AB0"/>
    <w:rsid w:val="00613C7B"/>
    <w:rsid w:val="00674923"/>
    <w:rsid w:val="00690F1C"/>
    <w:rsid w:val="006A79D8"/>
    <w:rsid w:val="006C13CC"/>
    <w:rsid w:val="00707FB6"/>
    <w:rsid w:val="00740CC0"/>
    <w:rsid w:val="007F7C71"/>
    <w:rsid w:val="00803B57"/>
    <w:rsid w:val="0081787A"/>
    <w:rsid w:val="008331E5"/>
    <w:rsid w:val="00847066"/>
    <w:rsid w:val="008739D3"/>
    <w:rsid w:val="00874AA5"/>
    <w:rsid w:val="008A6162"/>
    <w:rsid w:val="00911432"/>
    <w:rsid w:val="00962235"/>
    <w:rsid w:val="009735D9"/>
    <w:rsid w:val="00A365CC"/>
    <w:rsid w:val="00AE219A"/>
    <w:rsid w:val="00B276E9"/>
    <w:rsid w:val="00B64D69"/>
    <w:rsid w:val="00B81618"/>
    <w:rsid w:val="00BC42C8"/>
    <w:rsid w:val="00BC6C5D"/>
    <w:rsid w:val="00BE0958"/>
    <w:rsid w:val="00C03298"/>
    <w:rsid w:val="00C76DA1"/>
    <w:rsid w:val="00D34803"/>
    <w:rsid w:val="00D37217"/>
    <w:rsid w:val="00D60285"/>
    <w:rsid w:val="00D61114"/>
    <w:rsid w:val="00DE4B03"/>
    <w:rsid w:val="00DE6F2B"/>
    <w:rsid w:val="00E37483"/>
    <w:rsid w:val="00E4111C"/>
    <w:rsid w:val="00E7426E"/>
    <w:rsid w:val="00E871B1"/>
    <w:rsid w:val="00F028E4"/>
    <w:rsid w:val="00F528EB"/>
    <w:rsid w:val="00F76F6B"/>
    <w:rsid w:val="00FA3457"/>
    <w:rsid w:val="00FC7948"/>
    <w:rsid w:val="00FD1BFB"/>
    <w:rsid w:val="00FE3501"/>
    <w:rsid w:val="00FE7D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03D94"/>
  <w15:docId w15:val="{295E7433-940A-44F6-8E87-47B6FC34A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21233B"/>
    <w:pPr>
      <w:spacing w:after="0" w:line="240" w:lineRule="auto"/>
    </w:pPr>
    <w:rPr>
      <w:rFonts w:ascii="Calibri" w:eastAsia="Calibri" w:hAnsi="Calibri" w:cs="Calibri"/>
      <w:color w:val="000000"/>
      <w:sz w:val="22"/>
    </w:rPr>
  </w:style>
  <w:style w:type="paragraph" w:styleId="Footer">
    <w:name w:val="footer"/>
    <w:basedOn w:val="Normal"/>
    <w:link w:val="FooterChar"/>
    <w:uiPriority w:val="99"/>
    <w:unhideWhenUsed/>
    <w:rsid w:val="006A79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79D8"/>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793</Words>
  <Characters>4819</Characters>
  <Application>Microsoft Office Word</Application>
  <DocSecurity>0</DocSecurity>
  <Lines>104</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dc:creator>
  <cp:keywords/>
  <cp:lastModifiedBy>Susie Kilby</cp:lastModifiedBy>
  <cp:revision>2</cp:revision>
  <dcterms:created xsi:type="dcterms:W3CDTF">2026-05-19T09:50:00Z</dcterms:created>
  <dcterms:modified xsi:type="dcterms:W3CDTF">2026-05-19T09:50:00Z</dcterms:modified>
</cp:coreProperties>
</file>